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A8" w:rsidRDefault="00E605A8" w:rsidP="00E605A8">
      <w:pPr>
        <w:pStyle w:val="Zkladntex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Obec Chudčice </w:t>
      </w:r>
    </w:p>
    <w:p w:rsidR="00E605A8" w:rsidRDefault="00E605A8" w:rsidP="00E605A8">
      <w:pPr>
        <w:pStyle w:val="nzevzkona"/>
        <w:tabs>
          <w:tab w:val="left" w:pos="2977"/>
        </w:tabs>
        <w:jc w:val="both"/>
        <w:rPr>
          <w:b w:val="0"/>
          <w:bCs w:val="0"/>
        </w:rPr>
      </w:pPr>
    </w:p>
    <w:p w:rsidR="00E605A8" w:rsidRDefault="00E605A8" w:rsidP="00E605A8">
      <w:pPr>
        <w:jc w:val="center"/>
        <w:rPr>
          <w:sz w:val="28"/>
        </w:rPr>
      </w:pPr>
      <w:r>
        <w:rPr>
          <w:sz w:val="28"/>
        </w:rPr>
        <w:t>Obecně závazná vyhláška č. 1/2011,</w:t>
      </w:r>
    </w:p>
    <w:p w:rsidR="00E605A8" w:rsidRDefault="00E605A8" w:rsidP="00E605A8">
      <w:pPr>
        <w:spacing w:before="120"/>
        <w:jc w:val="center"/>
        <w:rPr>
          <w:sz w:val="28"/>
        </w:rPr>
      </w:pPr>
      <w:r>
        <w:rPr>
          <w:sz w:val="28"/>
        </w:rPr>
        <w:t>o místním poplatku za provozovaný výherní hrací přístroj, koncový interaktivní videoloterní terminál a herní místo lokálního herního systému</w:t>
      </w:r>
    </w:p>
    <w:p w:rsidR="00E605A8" w:rsidRDefault="00E605A8" w:rsidP="00E605A8">
      <w:pPr>
        <w:pStyle w:val="nzevzkona"/>
        <w:tabs>
          <w:tab w:val="left" w:pos="426"/>
        </w:tabs>
        <w:spacing w:line="288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E605A8" w:rsidRDefault="00E605A8" w:rsidP="00E605A8">
      <w:pPr>
        <w:pStyle w:val="nzevzkona"/>
        <w:tabs>
          <w:tab w:val="left" w:pos="426"/>
        </w:tabs>
        <w:spacing w:before="0" w:line="288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Zastupitelstvo obce Chudčice se na svém zasedání dne 14. 12. 2011 usnesením č. 89/11/ZO7 usneslo vydat na základě § 14 odst. 2 zákona č. 565/1990 Sb., o místních poplatcích, ve znění pozdějších předpisů, a v souladu s § 10 písm. d) a § 84 odst. 2 písm. h) zákona č. 128/2000 Sb. o obcích (obecní zřízení), ve znění pozdějších předpisů, tuto obecně závaznou vyhlášku: </w:t>
      </w:r>
    </w:p>
    <w:p w:rsidR="00E605A8" w:rsidRDefault="00E605A8" w:rsidP="00E605A8">
      <w:pPr>
        <w:pStyle w:val="nzevzkona"/>
        <w:tabs>
          <w:tab w:val="left" w:pos="426"/>
        </w:tabs>
        <w:spacing w:before="0" w:line="288" w:lineRule="auto"/>
        <w:jc w:val="both"/>
        <w:rPr>
          <w:b w:val="0"/>
          <w:bCs w:val="0"/>
        </w:rPr>
      </w:pPr>
    </w:p>
    <w:p w:rsidR="00E605A8" w:rsidRDefault="00E605A8" w:rsidP="00E605A8">
      <w:pPr>
        <w:pStyle w:val="Nadpis2"/>
        <w:spacing w:before="0" w:line="288" w:lineRule="auto"/>
        <w:jc w:val="center"/>
        <w:rPr>
          <w:rFonts w:ascii="Times New Roman" w:hAnsi="Times New Roman"/>
          <w:b/>
          <w:bCs w:val="0"/>
          <w:color w:val="auto"/>
          <w:sz w:val="24"/>
          <w:szCs w:val="24"/>
        </w:rPr>
      </w:pPr>
      <w:r>
        <w:rPr>
          <w:rFonts w:ascii="Times New Roman" w:hAnsi="Times New Roman"/>
          <w:b/>
          <w:bCs w:val="0"/>
          <w:color w:val="auto"/>
          <w:sz w:val="24"/>
          <w:szCs w:val="24"/>
        </w:rPr>
        <w:t>Čl. 1</w:t>
      </w:r>
    </w:p>
    <w:p w:rsidR="00E605A8" w:rsidRDefault="00E605A8" w:rsidP="00E605A8">
      <w:pPr>
        <w:pStyle w:val="Nadpis2"/>
        <w:spacing w:before="0" w:after="120" w:line="288" w:lineRule="auto"/>
        <w:jc w:val="center"/>
        <w:rPr>
          <w:rFonts w:ascii="Times New Roman" w:hAnsi="Times New Roman"/>
          <w:b/>
          <w:bCs w:val="0"/>
          <w:color w:val="auto"/>
          <w:sz w:val="24"/>
          <w:szCs w:val="24"/>
        </w:rPr>
      </w:pPr>
      <w:r>
        <w:rPr>
          <w:rFonts w:ascii="Times New Roman" w:hAnsi="Times New Roman"/>
          <w:b/>
          <w:bCs w:val="0"/>
          <w:color w:val="auto"/>
          <w:sz w:val="24"/>
          <w:szCs w:val="24"/>
        </w:rPr>
        <w:t>Úvodní ustanovení</w:t>
      </w:r>
    </w:p>
    <w:p w:rsidR="00E605A8" w:rsidRDefault="00E605A8" w:rsidP="00E605A8">
      <w:pPr>
        <w:pStyle w:val="Zkladntextodsazen"/>
        <w:numPr>
          <w:ilvl w:val="0"/>
          <w:numId w:val="1"/>
        </w:numPr>
        <w:tabs>
          <w:tab w:val="left" w:pos="540"/>
        </w:tabs>
        <w:spacing w:after="120" w:line="288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Obec Chudčice touto obecně závaznou vyhláškou zavádí místní poplatek za provozovaný výherní hrací přístroj, koncový interaktivní videoloterní terminál a herní místo lokálního herního systému (dále jen „poplatek“).</w:t>
      </w:r>
    </w:p>
    <w:p w:rsidR="00E605A8" w:rsidRDefault="00E605A8" w:rsidP="00E605A8">
      <w:pPr>
        <w:pStyle w:val="Zkladntext3"/>
        <w:numPr>
          <w:ilvl w:val="0"/>
          <w:numId w:val="1"/>
        </w:numPr>
        <w:tabs>
          <w:tab w:val="left" w:pos="540"/>
        </w:tabs>
        <w:spacing w:line="288" w:lineRule="auto"/>
        <w:ind w:left="851" w:hanging="851"/>
        <w:jc w:val="left"/>
        <w:rPr>
          <w:sz w:val="24"/>
          <w:szCs w:val="24"/>
        </w:rPr>
      </w:pPr>
      <w:r>
        <w:rPr>
          <w:sz w:val="24"/>
          <w:szCs w:val="24"/>
        </w:rPr>
        <w:t>Řízení o poplatcích vykonává obecní úřad (dále jen „správce poplatku“).</w:t>
      </w:r>
      <w:r>
        <w:rPr>
          <w:sz w:val="24"/>
          <w:szCs w:val="24"/>
          <w:vertAlign w:val="superscript"/>
        </w:rPr>
        <w:footnoteReference w:id="1"/>
      </w:r>
    </w:p>
    <w:p w:rsidR="00E605A8" w:rsidRDefault="00E605A8" w:rsidP="00E605A8">
      <w:pPr>
        <w:pStyle w:val="slalnk"/>
        <w:spacing w:before="0" w:after="0" w:line="288" w:lineRule="auto"/>
        <w:rPr>
          <w:szCs w:val="24"/>
        </w:rPr>
      </w:pPr>
    </w:p>
    <w:p w:rsidR="00E605A8" w:rsidRDefault="00E605A8" w:rsidP="00E605A8">
      <w:pPr>
        <w:pStyle w:val="slalnk"/>
        <w:spacing w:before="0" w:after="0" w:line="288" w:lineRule="auto"/>
        <w:rPr>
          <w:szCs w:val="24"/>
        </w:rPr>
      </w:pPr>
    </w:p>
    <w:p w:rsidR="00E605A8" w:rsidRDefault="00E605A8" w:rsidP="00E605A8">
      <w:pPr>
        <w:pStyle w:val="slalnk"/>
        <w:spacing w:before="0" w:after="0" w:line="288" w:lineRule="auto"/>
        <w:rPr>
          <w:szCs w:val="24"/>
        </w:rPr>
      </w:pPr>
      <w:r>
        <w:rPr>
          <w:szCs w:val="24"/>
        </w:rPr>
        <w:t>Čl. 2</w:t>
      </w:r>
    </w:p>
    <w:p w:rsidR="00E605A8" w:rsidRDefault="00E605A8" w:rsidP="00E605A8">
      <w:pPr>
        <w:pStyle w:val="Zkladntext3"/>
        <w:spacing w:after="120" w:line="28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poplatku, poplatník</w:t>
      </w:r>
    </w:p>
    <w:p w:rsidR="00E605A8" w:rsidRDefault="00E605A8" w:rsidP="00E605A8">
      <w:pPr>
        <w:pStyle w:val="Zkladntext3"/>
        <w:numPr>
          <w:ilvl w:val="0"/>
          <w:numId w:val="2"/>
        </w:numPr>
        <w:tabs>
          <w:tab w:val="left" w:pos="540"/>
        </w:tabs>
        <w:spacing w:after="120" w:line="288" w:lineRule="auto"/>
        <w:ind w:left="540" w:hanging="540"/>
        <w:rPr>
          <w:sz w:val="24"/>
          <w:szCs w:val="24"/>
        </w:rPr>
      </w:pPr>
      <w:r>
        <w:rPr>
          <w:sz w:val="24"/>
          <w:szCs w:val="24"/>
        </w:rPr>
        <w:t>Poplatku za provozovaný výherní hrací přístroj podléhá každý povolený hrací přístroj definovaný v § 2 písm. e) zákona č. 202/1990 Sb., o loteriích a jiných podobných hrách, ve znění pozdějších předpisů (dále jen „zákon o loteriích“), každý koncový interaktivní videoloterní terminál definovaný v § 2 písm. l) zákona o loteriích a každé herní místo lokálního herního systému definovaného v § 2 písm. n) zákona o loteriích (dále jen souhrnně „herní zařízení“).</w:t>
      </w:r>
      <w:r>
        <w:rPr>
          <w:rStyle w:val="Znakapoznpodarou"/>
          <w:sz w:val="24"/>
        </w:rPr>
        <w:footnoteReference w:id="2"/>
      </w:r>
    </w:p>
    <w:p w:rsidR="00E605A8" w:rsidRDefault="00E605A8" w:rsidP="00E605A8">
      <w:pPr>
        <w:pStyle w:val="Zkladntext3"/>
        <w:numPr>
          <w:ilvl w:val="0"/>
          <w:numId w:val="2"/>
        </w:numPr>
        <w:tabs>
          <w:tab w:val="left" w:pos="540"/>
        </w:tabs>
        <w:spacing w:line="288" w:lineRule="auto"/>
        <w:ind w:left="540" w:hanging="540"/>
        <w:rPr>
          <w:sz w:val="24"/>
          <w:szCs w:val="24"/>
        </w:rPr>
      </w:pPr>
      <w:r>
        <w:rPr>
          <w:sz w:val="24"/>
          <w:szCs w:val="24"/>
        </w:rPr>
        <w:t>Poplatníkem je provozovatel herního zařízení.</w:t>
      </w:r>
      <w:r>
        <w:rPr>
          <w:rStyle w:val="Znakapoznpodarou"/>
          <w:sz w:val="24"/>
          <w:szCs w:val="24"/>
        </w:rPr>
        <w:footnoteReference w:id="3"/>
      </w:r>
    </w:p>
    <w:p w:rsidR="00E605A8" w:rsidRDefault="00E605A8" w:rsidP="00E605A8">
      <w:pPr>
        <w:pStyle w:val="Zkladntext3"/>
        <w:tabs>
          <w:tab w:val="left" w:pos="540"/>
        </w:tabs>
        <w:spacing w:line="288" w:lineRule="auto"/>
        <w:rPr>
          <w:sz w:val="24"/>
          <w:szCs w:val="24"/>
        </w:rPr>
      </w:pPr>
    </w:p>
    <w:p w:rsidR="00E605A8" w:rsidRDefault="00E605A8" w:rsidP="00E605A8">
      <w:pPr>
        <w:pStyle w:val="Zkladntext3"/>
        <w:tabs>
          <w:tab w:val="left" w:pos="540"/>
        </w:tabs>
        <w:spacing w:line="288" w:lineRule="auto"/>
        <w:rPr>
          <w:sz w:val="24"/>
          <w:szCs w:val="24"/>
        </w:rPr>
      </w:pPr>
    </w:p>
    <w:p w:rsidR="00E605A8" w:rsidRDefault="00E605A8" w:rsidP="00E605A8">
      <w:pPr>
        <w:pStyle w:val="Hlava"/>
        <w:spacing w:before="0" w:line="288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3</w:t>
      </w:r>
    </w:p>
    <w:p w:rsidR="00E605A8" w:rsidRDefault="00E605A8" w:rsidP="00E605A8">
      <w:pPr>
        <w:pStyle w:val="Hlava"/>
        <w:spacing w:before="0" w:after="120" w:line="288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Vznik a zánik poplatkové povinnosti</w:t>
      </w:r>
    </w:p>
    <w:p w:rsidR="00E605A8" w:rsidRDefault="00E605A8" w:rsidP="00E605A8">
      <w:pPr>
        <w:pStyle w:val="Hlava"/>
        <w:numPr>
          <w:ilvl w:val="0"/>
          <w:numId w:val="3"/>
        </w:numPr>
        <w:tabs>
          <w:tab w:val="left" w:pos="540"/>
        </w:tabs>
        <w:spacing w:before="0" w:after="120" w:line="288" w:lineRule="auto"/>
        <w:ind w:hanging="540"/>
        <w:jc w:val="both"/>
        <w:rPr>
          <w:rFonts w:ascii="Times New Roman" w:hAnsi="Times New Roman" w:cs="Times New Roman"/>
          <w:bCs/>
          <w:strike/>
        </w:rPr>
      </w:pPr>
      <w:r>
        <w:rPr>
          <w:rFonts w:ascii="Times New Roman" w:hAnsi="Times New Roman" w:cs="Times New Roman"/>
          <w:bCs/>
        </w:rPr>
        <w:t xml:space="preserve">Poplatek se platí ode dne uvedení </w:t>
      </w:r>
      <w:r>
        <w:rPr>
          <w:rFonts w:ascii="Times New Roman" w:hAnsi="Times New Roman" w:cs="Times New Roman"/>
        </w:rPr>
        <w:t xml:space="preserve">herního zařízení </w:t>
      </w:r>
      <w:r>
        <w:rPr>
          <w:rFonts w:ascii="Times New Roman" w:hAnsi="Times New Roman" w:cs="Times New Roman"/>
          <w:bCs/>
        </w:rPr>
        <w:t xml:space="preserve">do provozu.  </w:t>
      </w:r>
    </w:p>
    <w:p w:rsidR="00E605A8" w:rsidRDefault="00E605A8" w:rsidP="00E605A8">
      <w:pPr>
        <w:pStyle w:val="Hlava"/>
        <w:numPr>
          <w:ilvl w:val="0"/>
          <w:numId w:val="3"/>
        </w:numPr>
        <w:tabs>
          <w:tab w:val="left" w:pos="540"/>
        </w:tabs>
        <w:spacing w:before="0" w:line="288" w:lineRule="auto"/>
        <w:ind w:hanging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Poplatková povinnost zaniká dnem ukončení provozu herního zařízení.</w:t>
      </w:r>
    </w:p>
    <w:p w:rsidR="00E605A8" w:rsidRDefault="00E605A8" w:rsidP="00E605A8">
      <w:pPr>
        <w:pStyle w:val="Hlava"/>
        <w:spacing w:before="0" w:line="288" w:lineRule="auto"/>
        <w:rPr>
          <w:rFonts w:ascii="Times New Roman" w:hAnsi="Times New Roman" w:cs="Times New Roman"/>
          <w:b/>
          <w:bCs/>
        </w:rPr>
      </w:pPr>
    </w:p>
    <w:p w:rsidR="00E605A8" w:rsidRDefault="00E605A8" w:rsidP="00E605A8">
      <w:pPr>
        <w:pStyle w:val="Hlava"/>
        <w:spacing w:before="0" w:line="288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Čl. 4</w:t>
      </w:r>
    </w:p>
    <w:p w:rsidR="00E605A8" w:rsidRDefault="00E605A8" w:rsidP="00E605A8">
      <w:pPr>
        <w:pStyle w:val="Nadpis6"/>
        <w:spacing w:after="120"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Ohlašovací povinnost</w:t>
      </w:r>
    </w:p>
    <w:p w:rsidR="00E605A8" w:rsidRDefault="00E605A8" w:rsidP="00E605A8">
      <w:pPr>
        <w:pStyle w:val="Zkladntext"/>
        <w:numPr>
          <w:ilvl w:val="0"/>
          <w:numId w:val="4"/>
        </w:numPr>
        <w:tabs>
          <w:tab w:val="left" w:pos="540"/>
        </w:tabs>
        <w:autoSpaceDE/>
        <w:spacing w:after="120" w:line="288" w:lineRule="auto"/>
        <w:ind w:left="540" w:hanging="540"/>
      </w:pPr>
      <w:r>
        <w:t xml:space="preserve">Provozovatel herního zařízení je povinen ohlásit správci poplatku </w:t>
      </w:r>
      <w:r>
        <w:rPr>
          <w:color w:val="000000"/>
        </w:rPr>
        <w:t xml:space="preserve">uvedení herního zařízení do provozu, a to </w:t>
      </w:r>
      <w:r>
        <w:t>ve lhůtě do 15 dnů od uvedení do provozu. Ve stejné lhůtě je povinen ohlásit ukončení provozu herního zařízení. Tyto skutečnosti prokáže protokolem o zahájení provozu a protokolem o ukončení provozu, je-li tento vyhotovován.</w:t>
      </w:r>
      <w:r>
        <w:rPr>
          <w:rStyle w:val="Znakapoznpodarou"/>
        </w:rPr>
        <w:footnoteReference w:id="4"/>
      </w:r>
      <w:r>
        <w:t xml:space="preserve"> </w:t>
      </w:r>
    </w:p>
    <w:p w:rsidR="00E605A8" w:rsidRDefault="00E605A8" w:rsidP="00E605A8">
      <w:pPr>
        <w:pStyle w:val="Zkladntextodsazen"/>
        <w:numPr>
          <w:ilvl w:val="0"/>
          <w:numId w:val="4"/>
        </w:numPr>
        <w:tabs>
          <w:tab w:val="left" w:pos="540"/>
        </w:tabs>
        <w:spacing w:after="120" w:line="288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Poplatník je povinen sdělit správci poplatku zejména název nebo obchodní firmu právnické osoby, IČ, sídlo, místo podnikání, popřípadě další adresu pro doručování; osoby, které jsou jménem právnické osoby oprávněny jednat v poplatkových věcech, čísla všech svých účtů u poskytovatelů platebních služeb, včetně poskytovatelů těchto služeb v zahraničí, užívaných v souvislosti s podnikatelskou činností, identifikační znaky herního zařízení, jeho přesné umístění, přístup ke známkám, jakož i každou další skutečnost mající vliv na poplatkovou povinnost. </w:t>
      </w:r>
    </w:p>
    <w:p w:rsidR="00E605A8" w:rsidRDefault="00E605A8" w:rsidP="00E605A8">
      <w:pPr>
        <w:numPr>
          <w:ilvl w:val="0"/>
          <w:numId w:val="4"/>
        </w:numPr>
        <w:tabs>
          <w:tab w:val="left" w:pos="540"/>
        </w:tabs>
        <w:spacing w:line="288" w:lineRule="auto"/>
        <w:ind w:left="540" w:hanging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Dojde-li ke změně údajů či skutečností uvedených v ohlášení, je poplatník povinen tuto změnu oznámit do 15 dnů ode dne, kdy nastala.</w:t>
      </w:r>
      <w:r>
        <w:rPr>
          <w:rStyle w:val="Znakapoznpodarou"/>
          <w:b w:val="0"/>
          <w:sz w:val="24"/>
          <w:szCs w:val="24"/>
        </w:rPr>
        <w:footnoteReference w:id="5"/>
      </w:r>
    </w:p>
    <w:p w:rsidR="00E605A8" w:rsidRDefault="00E605A8" w:rsidP="00E605A8">
      <w:pPr>
        <w:tabs>
          <w:tab w:val="left" w:pos="540"/>
        </w:tabs>
        <w:spacing w:line="288" w:lineRule="auto"/>
        <w:jc w:val="both"/>
        <w:rPr>
          <w:b w:val="0"/>
          <w:sz w:val="24"/>
          <w:szCs w:val="24"/>
        </w:rPr>
      </w:pPr>
    </w:p>
    <w:p w:rsidR="00E605A8" w:rsidRDefault="00E605A8" w:rsidP="00E605A8">
      <w:pPr>
        <w:tabs>
          <w:tab w:val="left" w:pos="540"/>
        </w:tabs>
        <w:spacing w:line="288" w:lineRule="auto"/>
        <w:jc w:val="both"/>
        <w:rPr>
          <w:b w:val="0"/>
          <w:sz w:val="24"/>
          <w:szCs w:val="24"/>
        </w:rPr>
      </w:pPr>
    </w:p>
    <w:p w:rsidR="00E605A8" w:rsidRDefault="00E605A8" w:rsidP="00E605A8">
      <w:pPr>
        <w:pStyle w:val="Zkladntext3"/>
        <w:spacing w:line="28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5</w:t>
      </w:r>
    </w:p>
    <w:p w:rsidR="00E605A8" w:rsidRDefault="00E605A8" w:rsidP="00E605A8">
      <w:pPr>
        <w:pStyle w:val="Nadpis6"/>
        <w:spacing w:after="120"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Sazba poplatku</w:t>
      </w:r>
    </w:p>
    <w:p w:rsidR="00E605A8" w:rsidRDefault="00E605A8" w:rsidP="00E605A8">
      <w:pPr>
        <w:pStyle w:val="Zkladntextodsazen"/>
        <w:numPr>
          <w:ilvl w:val="0"/>
          <w:numId w:val="5"/>
        </w:numPr>
        <w:tabs>
          <w:tab w:val="left" w:pos="540"/>
        </w:tabs>
        <w:spacing w:after="120" w:line="288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Sazba poplatku činí 5000,- Kč na 3 měsíce za každé herní zařízení.</w:t>
      </w:r>
    </w:p>
    <w:p w:rsidR="00E605A8" w:rsidRDefault="00E605A8" w:rsidP="00E605A8">
      <w:pPr>
        <w:pStyle w:val="Zkladntextodsazen"/>
        <w:numPr>
          <w:ilvl w:val="0"/>
          <w:numId w:val="5"/>
        </w:numPr>
        <w:tabs>
          <w:tab w:val="left" w:pos="540"/>
        </w:tabs>
        <w:spacing w:line="288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V případě, že je herní zařízení provozováno po dobu kratší než 3 měsíce, platí se poplatek v poměrné výši podle počtu dnů provozování.</w:t>
      </w:r>
    </w:p>
    <w:p w:rsidR="00E605A8" w:rsidRDefault="00E605A8" w:rsidP="00E605A8">
      <w:pPr>
        <w:pStyle w:val="Zkladntextodsazen"/>
        <w:tabs>
          <w:tab w:val="left" w:pos="540"/>
        </w:tabs>
        <w:spacing w:line="288" w:lineRule="auto"/>
        <w:jc w:val="both"/>
        <w:rPr>
          <w:sz w:val="24"/>
          <w:szCs w:val="24"/>
        </w:rPr>
      </w:pPr>
    </w:p>
    <w:p w:rsidR="00E605A8" w:rsidRDefault="00E605A8" w:rsidP="00E605A8">
      <w:pPr>
        <w:pStyle w:val="Zkladntextodsazen"/>
        <w:tabs>
          <w:tab w:val="left" w:pos="540"/>
        </w:tabs>
        <w:spacing w:line="288" w:lineRule="auto"/>
        <w:jc w:val="both"/>
        <w:rPr>
          <w:sz w:val="24"/>
          <w:szCs w:val="24"/>
        </w:rPr>
      </w:pPr>
    </w:p>
    <w:p w:rsidR="00E605A8" w:rsidRDefault="00E605A8" w:rsidP="00E605A8">
      <w:pPr>
        <w:pStyle w:val="Zkladntext3"/>
        <w:spacing w:line="28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6</w:t>
      </w:r>
    </w:p>
    <w:p w:rsidR="00E605A8" w:rsidRDefault="00E605A8" w:rsidP="00E605A8">
      <w:pPr>
        <w:pStyle w:val="Normlnweb"/>
        <w:spacing w:before="0" w:beforeAutospacing="0" w:after="120" w:afterAutospacing="0" w:line="288" w:lineRule="auto"/>
        <w:jc w:val="center"/>
        <w:rPr>
          <w:b/>
          <w:bCs/>
        </w:rPr>
      </w:pPr>
      <w:r>
        <w:rPr>
          <w:b/>
          <w:bCs/>
        </w:rPr>
        <w:t>Splatnost poplatku</w:t>
      </w:r>
    </w:p>
    <w:p w:rsidR="00E605A8" w:rsidRDefault="00E605A8" w:rsidP="00E605A8">
      <w:pPr>
        <w:pStyle w:val="Zkladntext3"/>
        <w:numPr>
          <w:ilvl w:val="0"/>
          <w:numId w:val="6"/>
        </w:numPr>
        <w:tabs>
          <w:tab w:val="clear" w:pos="720"/>
          <w:tab w:val="num" w:pos="540"/>
          <w:tab w:val="left" w:pos="851"/>
        </w:tabs>
        <w:spacing w:after="120" w:line="288" w:lineRule="auto"/>
        <w:ind w:left="540" w:hanging="534"/>
        <w:rPr>
          <w:color w:val="000000"/>
          <w:sz w:val="24"/>
          <w:szCs w:val="24"/>
        </w:rPr>
      </w:pPr>
      <w:r>
        <w:rPr>
          <w:sz w:val="24"/>
          <w:szCs w:val="24"/>
        </w:rPr>
        <w:t>Poplatek je splatný čtvrtletně, a to vždy nejpozději do 15 dne posledního měsíce příslušného kalendářního čtvrtletí.</w:t>
      </w:r>
    </w:p>
    <w:p w:rsidR="00E605A8" w:rsidRDefault="00E605A8" w:rsidP="00E605A8">
      <w:pPr>
        <w:pStyle w:val="Zkladntext3"/>
        <w:numPr>
          <w:ilvl w:val="0"/>
          <w:numId w:val="6"/>
        </w:numPr>
        <w:tabs>
          <w:tab w:val="clear" w:pos="720"/>
          <w:tab w:val="num" w:pos="540"/>
          <w:tab w:val="left" w:pos="851"/>
        </w:tabs>
        <w:spacing w:line="288" w:lineRule="auto"/>
        <w:ind w:left="540" w:hanging="534"/>
        <w:rPr>
          <w:sz w:val="24"/>
          <w:szCs w:val="24"/>
        </w:rPr>
      </w:pPr>
      <w:r>
        <w:rPr>
          <w:sz w:val="24"/>
          <w:szCs w:val="24"/>
        </w:rPr>
        <w:t>Poplatek může být zaplacen i jednorázově předem, za libovolné období. Není-li poplatek zaplacen předem, je splatný ve lhůtě dle odst. 1.</w:t>
      </w:r>
    </w:p>
    <w:p w:rsidR="00E605A8" w:rsidRDefault="00E605A8" w:rsidP="00E605A8">
      <w:pPr>
        <w:pStyle w:val="Zkladntext3"/>
        <w:tabs>
          <w:tab w:val="left" w:pos="851"/>
        </w:tabs>
        <w:spacing w:line="288" w:lineRule="auto"/>
        <w:ind w:left="6"/>
        <w:rPr>
          <w:sz w:val="24"/>
          <w:szCs w:val="24"/>
        </w:rPr>
      </w:pPr>
    </w:p>
    <w:p w:rsidR="00E605A8" w:rsidRDefault="00E605A8" w:rsidP="00E605A8">
      <w:pPr>
        <w:pStyle w:val="Zkladntext3"/>
        <w:tabs>
          <w:tab w:val="left" w:pos="851"/>
        </w:tabs>
        <w:spacing w:line="288" w:lineRule="auto"/>
        <w:ind w:left="6"/>
        <w:rPr>
          <w:sz w:val="24"/>
          <w:szCs w:val="24"/>
        </w:rPr>
      </w:pPr>
    </w:p>
    <w:p w:rsidR="00E605A8" w:rsidRDefault="00E605A8" w:rsidP="00E605A8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Čl. 7</w:t>
      </w:r>
    </w:p>
    <w:p w:rsidR="00E605A8" w:rsidRDefault="00E605A8" w:rsidP="00E605A8">
      <w:pPr>
        <w:pStyle w:val="Nzvylnk"/>
        <w:spacing w:before="0" w:after="120" w:line="288" w:lineRule="auto"/>
        <w:rPr>
          <w:szCs w:val="24"/>
        </w:rPr>
      </w:pPr>
      <w:r>
        <w:rPr>
          <w:szCs w:val="24"/>
        </w:rPr>
        <w:t xml:space="preserve">Navýšení poplatku </w:t>
      </w:r>
    </w:p>
    <w:p w:rsidR="00E605A8" w:rsidRDefault="00E605A8" w:rsidP="00E605A8">
      <w:pPr>
        <w:tabs>
          <w:tab w:val="left" w:pos="1110"/>
        </w:tabs>
        <w:spacing w:line="288" w:lineRule="auto"/>
        <w:ind w:firstLine="540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Nezaplacení poplatku včas nebo ve správné výši může podléhat zvýšení poplatku podle § 11 zákona č. 565/1990 Sb., o místních poplatcích, ve znění pozdějších předpisů.</w:t>
      </w:r>
      <w:r>
        <w:rPr>
          <w:rStyle w:val="Znakapoznpodarou"/>
          <w:b w:val="0"/>
          <w:sz w:val="24"/>
          <w:szCs w:val="24"/>
        </w:rPr>
        <w:footnoteReference w:id="6"/>
      </w:r>
    </w:p>
    <w:p w:rsidR="00E605A8" w:rsidRDefault="00E605A8" w:rsidP="00E605A8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Čl. 8</w:t>
      </w:r>
    </w:p>
    <w:p w:rsidR="00E605A8" w:rsidRDefault="00E605A8" w:rsidP="00E605A8">
      <w:pPr>
        <w:spacing w:after="120"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Zrušovací ustanovení</w:t>
      </w:r>
    </w:p>
    <w:p w:rsidR="00E605A8" w:rsidRDefault="00E605A8" w:rsidP="00E605A8">
      <w:pPr>
        <w:tabs>
          <w:tab w:val="left" w:pos="540"/>
        </w:tabs>
        <w:spacing w:line="288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Zrušuje se obecně závazná vyhláška č. 3/2010, o místním poplatku za provozovaný výherní hrací přístroj nebo jiné technické herní zařízení povolené Ministerstvem financí podle jiného právního předpisu.</w:t>
      </w:r>
    </w:p>
    <w:p w:rsidR="00E605A8" w:rsidRDefault="00E605A8" w:rsidP="00E605A8">
      <w:pPr>
        <w:tabs>
          <w:tab w:val="left" w:pos="540"/>
        </w:tabs>
        <w:spacing w:line="288" w:lineRule="auto"/>
        <w:jc w:val="both"/>
        <w:rPr>
          <w:b w:val="0"/>
          <w:sz w:val="24"/>
          <w:szCs w:val="24"/>
        </w:rPr>
      </w:pPr>
    </w:p>
    <w:p w:rsidR="00E605A8" w:rsidRDefault="00E605A8" w:rsidP="00E605A8">
      <w:pPr>
        <w:tabs>
          <w:tab w:val="left" w:pos="540"/>
        </w:tabs>
        <w:spacing w:line="288" w:lineRule="auto"/>
        <w:jc w:val="both"/>
        <w:rPr>
          <w:b w:val="0"/>
          <w:sz w:val="24"/>
          <w:szCs w:val="24"/>
        </w:rPr>
      </w:pPr>
    </w:p>
    <w:p w:rsidR="00E605A8" w:rsidRDefault="00E605A8" w:rsidP="00E605A8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Čl. 9</w:t>
      </w:r>
    </w:p>
    <w:p w:rsidR="00E605A8" w:rsidRDefault="00E605A8" w:rsidP="00E605A8">
      <w:pPr>
        <w:spacing w:after="120"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Účinnost</w:t>
      </w:r>
    </w:p>
    <w:p w:rsidR="00E605A8" w:rsidRDefault="00E605A8" w:rsidP="00E605A8">
      <w:pPr>
        <w:spacing w:line="288" w:lineRule="auto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Tato obecně závazná vyhláška nabývá účinnosti dnem  1. 1. .2012.</w:t>
      </w:r>
    </w:p>
    <w:p w:rsidR="00E605A8" w:rsidRDefault="00E605A8" w:rsidP="00E605A8">
      <w:pPr>
        <w:spacing w:line="288" w:lineRule="auto"/>
        <w:jc w:val="both"/>
        <w:rPr>
          <w:b w:val="0"/>
          <w:sz w:val="24"/>
          <w:szCs w:val="24"/>
        </w:rPr>
      </w:pPr>
    </w:p>
    <w:p w:rsidR="00E605A8" w:rsidRDefault="00E605A8" w:rsidP="00E605A8">
      <w:pPr>
        <w:spacing w:line="288" w:lineRule="auto"/>
        <w:jc w:val="both"/>
        <w:rPr>
          <w:b w:val="0"/>
          <w:sz w:val="24"/>
          <w:szCs w:val="24"/>
        </w:rPr>
      </w:pPr>
    </w:p>
    <w:p w:rsidR="00E605A8" w:rsidRDefault="00E605A8" w:rsidP="00E605A8">
      <w:pPr>
        <w:spacing w:line="288" w:lineRule="auto"/>
        <w:jc w:val="both"/>
        <w:rPr>
          <w:b w:val="0"/>
          <w:sz w:val="24"/>
          <w:szCs w:val="24"/>
        </w:rPr>
      </w:pPr>
    </w:p>
    <w:p w:rsidR="00E605A8" w:rsidRDefault="00E605A8" w:rsidP="00E605A8">
      <w:pPr>
        <w:pStyle w:val="Nadpis6"/>
        <w:spacing w:line="288" w:lineRule="auto"/>
        <w:rPr>
          <w:sz w:val="24"/>
          <w:szCs w:val="24"/>
        </w:rPr>
      </w:pPr>
    </w:p>
    <w:p w:rsidR="00E605A8" w:rsidRDefault="00E605A8" w:rsidP="00E605A8">
      <w:pPr>
        <w:pStyle w:val="Textparagrafu"/>
        <w:spacing w:before="0" w:line="288" w:lineRule="auto"/>
        <w:ind w:firstLine="0"/>
        <w:rPr>
          <w:i/>
          <w:iCs/>
        </w:rPr>
      </w:pPr>
      <w:r>
        <w:rPr>
          <w:i/>
          <w:iCs/>
        </w:rPr>
        <w:t xml:space="preserve">   </w:t>
      </w:r>
      <w:r>
        <w:t xml:space="preserve"> </w:t>
      </w:r>
      <w: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E605A8" w:rsidRDefault="00E605A8" w:rsidP="00E605A8">
      <w:pPr>
        <w:pStyle w:val="Zkladntext"/>
        <w:tabs>
          <w:tab w:val="left" w:pos="6120"/>
        </w:tabs>
        <w:spacing w:line="288" w:lineRule="auto"/>
      </w:pPr>
      <w:r>
        <w:t xml:space="preserve">…………………… </w:t>
      </w:r>
      <w:r>
        <w:tab/>
        <w:t>…………………………</w:t>
      </w:r>
    </w:p>
    <w:p w:rsidR="00E605A8" w:rsidRDefault="00E605A8" w:rsidP="00E605A8">
      <w:pPr>
        <w:pStyle w:val="Zkladntext"/>
        <w:tabs>
          <w:tab w:val="left" w:pos="312"/>
          <w:tab w:val="left" w:pos="6974"/>
        </w:tabs>
        <w:spacing w:line="288" w:lineRule="auto"/>
      </w:pPr>
      <w:r>
        <w:tab/>
        <w:t>místostarosta</w:t>
      </w:r>
      <w:r>
        <w:tab/>
        <w:t>starosta</w:t>
      </w:r>
    </w:p>
    <w:p w:rsidR="00E605A8" w:rsidRDefault="00E605A8" w:rsidP="00E605A8">
      <w:pPr>
        <w:pStyle w:val="Zkladntext"/>
        <w:spacing w:line="288" w:lineRule="auto"/>
      </w:pPr>
    </w:p>
    <w:p w:rsidR="00E605A8" w:rsidRDefault="00E605A8" w:rsidP="00E605A8">
      <w:pPr>
        <w:pStyle w:val="Zkladntext"/>
        <w:spacing w:line="288" w:lineRule="auto"/>
      </w:pPr>
    </w:p>
    <w:p w:rsidR="00E605A8" w:rsidRDefault="00E605A8" w:rsidP="00E605A8">
      <w:pPr>
        <w:pStyle w:val="Zkladntext"/>
        <w:spacing w:line="288" w:lineRule="auto"/>
      </w:pPr>
    </w:p>
    <w:p w:rsidR="00E605A8" w:rsidRDefault="00E605A8" w:rsidP="00E605A8">
      <w:pPr>
        <w:pStyle w:val="Zkladntext"/>
        <w:spacing w:line="288" w:lineRule="auto"/>
      </w:pPr>
      <w:r>
        <w:t>Vyvěšeno na úřední desce dne: 15. 12. 2011</w:t>
      </w:r>
    </w:p>
    <w:p w:rsidR="00E605A8" w:rsidRDefault="00E605A8" w:rsidP="00E605A8">
      <w:pPr>
        <w:pStyle w:val="Zkladntext"/>
        <w:spacing w:line="288" w:lineRule="auto"/>
      </w:pPr>
      <w:r>
        <w:t>Sejmuto z úřední desky dne:</w:t>
      </w:r>
    </w:p>
    <w:p w:rsidR="00E605A8" w:rsidRDefault="00E605A8" w:rsidP="00E605A8">
      <w:pPr>
        <w:spacing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</w:p>
    <w:p w:rsidR="00E605A8" w:rsidRDefault="00E605A8" w:rsidP="00E605A8">
      <w:pPr>
        <w:tabs>
          <w:tab w:val="left" w:pos="2977"/>
        </w:tabs>
        <w:jc w:val="center"/>
        <w:rPr>
          <w:b w:val="0"/>
          <w:sz w:val="28"/>
          <w:szCs w:val="28"/>
        </w:rPr>
      </w:pPr>
    </w:p>
    <w:p w:rsidR="00E605A8" w:rsidRDefault="00E605A8" w:rsidP="00E605A8"/>
    <w:p w:rsidR="00C7093E" w:rsidRDefault="00C7093E"/>
    <w:sectPr w:rsidR="00C7093E" w:rsidSect="00C7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D99" w:rsidRDefault="00764D99" w:rsidP="00E605A8">
      <w:r>
        <w:separator/>
      </w:r>
    </w:p>
  </w:endnote>
  <w:endnote w:type="continuationSeparator" w:id="0">
    <w:p w:rsidR="00764D99" w:rsidRDefault="00764D99" w:rsidP="00E60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D99" w:rsidRDefault="00764D99" w:rsidP="00E605A8">
      <w:r>
        <w:separator/>
      </w:r>
    </w:p>
  </w:footnote>
  <w:footnote w:type="continuationSeparator" w:id="0">
    <w:p w:rsidR="00764D99" w:rsidRDefault="00764D99" w:rsidP="00E605A8">
      <w:r>
        <w:continuationSeparator/>
      </w:r>
    </w:p>
  </w:footnote>
  <w:footnote w:id="1">
    <w:p w:rsidR="00E605A8" w:rsidRDefault="00E605A8" w:rsidP="00E605A8">
      <w:pPr>
        <w:pStyle w:val="Textpoznpodarou"/>
        <w:jc w:val="both"/>
      </w:pPr>
      <w:r>
        <w:rPr>
          <w:rStyle w:val="Znakapoznpodarou"/>
          <w:rFonts w:ascii="Arial" w:hAnsi="Arial"/>
          <w:sz w:val="18"/>
          <w:szCs w:val="18"/>
        </w:rPr>
        <w:footnoteRef/>
      </w:r>
      <w:r>
        <w:rPr>
          <w:sz w:val="18"/>
          <w:szCs w:val="18"/>
        </w:rPr>
        <w:t xml:space="preserve"> § 14 odst. 3 zákona č. 565/1990 Sb., o místních poplatcích, ve znění pozdějších předpisů (dále jen „zákon o místních poplatcích“)</w:t>
      </w:r>
    </w:p>
  </w:footnote>
  <w:footnote w:id="2">
    <w:p w:rsidR="00E605A8" w:rsidRDefault="00E605A8" w:rsidP="00E605A8">
      <w:pPr>
        <w:pStyle w:val="Textpoznpodarou"/>
      </w:pPr>
      <w:r>
        <w:rPr>
          <w:rStyle w:val="Znakapoznpodarou"/>
          <w:rFonts w:ascii="Arial" w:hAnsi="Arial"/>
          <w:sz w:val="18"/>
          <w:szCs w:val="18"/>
        </w:rPr>
        <w:footnoteRef/>
      </w:r>
      <w:r>
        <w:rPr>
          <w:sz w:val="18"/>
          <w:szCs w:val="18"/>
        </w:rPr>
        <w:t xml:space="preserve"> § 10a odst. 1 zákona o místních poplatcích</w:t>
      </w:r>
    </w:p>
  </w:footnote>
  <w:footnote w:id="3">
    <w:p w:rsidR="00E605A8" w:rsidRDefault="00E605A8" w:rsidP="00E605A8">
      <w:pPr>
        <w:pStyle w:val="Textpoznpodarou"/>
      </w:pPr>
      <w:r>
        <w:rPr>
          <w:rStyle w:val="Znakapoznpodarou"/>
          <w:rFonts w:ascii="Arial" w:hAnsi="Arial"/>
          <w:sz w:val="18"/>
          <w:szCs w:val="18"/>
        </w:rPr>
        <w:footnoteRef/>
      </w:r>
      <w:r>
        <w:rPr>
          <w:sz w:val="18"/>
          <w:szCs w:val="18"/>
        </w:rPr>
        <w:t xml:space="preserve"> § 10a odst. 2 zákona o místních poplatcích</w:t>
      </w:r>
    </w:p>
  </w:footnote>
  <w:footnote w:id="4">
    <w:p w:rsidR="00E605A8" w:rsidRDefault="00E605A8" w:rsidP="00E605A8">
      <w:pPr>
        <w:pStyle w:val="Textpoznpodarou"/>
        <w:jc w:val="both"/>
      </w:pPr>
      <w:r>
        <w:rPr>
          <w:rStyle w:val="Znakapoznpodarou"/>
          <w:rFonts w:ascii="Arial" w:hAnsi="Arial"/>
          <w:sz w:val="18"/>
          <w:szCs w:val="18"/>
        </w:rPr>
        <w:footnoteRef/>
      </w:r>
      <w:r>
        <w:rPr>
          <w:sz w:val="18"/>
          <w:szCs w:val="18"/>
        </w:rPr>
        <w:t xml:space="preserve"> § 5 vyhlášky ministerstva financí č. 223/1993 Sb., o hracích přístrojích, ve znění pozdjěších předpisů</w:t>
      </w:r>
    </w:p>
  </w:footnote>
  <w:footnote w:id="5">
    <w:p w:rsidR="00E605A8" w:rsidRDefault="00E605A8" w:rsidP="00E605A8">
      <w:pPr>
        <w:pStyle w:val="Textpoznpodarou"/>
      </w:pPr>
      <w:r>
        <w:rPr>
          <w:rStyle w:val="Znakapoznpodarou"/>
          <w:rFonts w:ascii="Arial" w:hAnsi="Arial"/>
          <w:sz w:val="18"/>
          <w:szCs w:val="18"/>
        </w:rPr>
        <w:footnoteRef/>
      </w:r>
      <w:r>
        <w:rPr>
          <w:sz w:val="18"/>
          <w:szCs w:val="18"/>
        </w:rPr>
        <w:t xml:space="preserve"> § 14a odst. 3 zákona o místních poplatcích</w:t>
      </w:r>
    </w:p>
  </w:footnote>
  <w:footnote w:id="6">
    <w:p w:rsidR="00E605A8" w:rsidRDefault="00E605A8" w:rsidP="00E605A8">
      <w:pPr>
        <w:pStyle w:val="Textpoznpodarou"/>
        <w:jc w:val="both"/>
      </w:pPr>
      <w:r>
        <w:rPr>
          <w:rStyle w:val="Znakapoznpodarou"/>
          <w:rFonts w:ascii="Arial" w:hAnsi="Arial"/>
          <w:sz w:val="18"/>
          <w:szCs w:val="18"/>
        </w:rPr>
        <w:footnoteRef/>
      </w:r>
      <w:r>
        <w:rPr>
          <w:sz w:val="18"/>
          <w:szCs w:val="18"/>
        </w:rPr>
        <w:t xml:space="preserve"> (1) Nebudou-li poplatky zaplaceny poplatníkem včas nebo ve správné výši, vyměří mu obecní úřad poplatek platebním výměrem nebo hromadným předpisným seznamem. (2) Nebudou-li poplatky odvedeny plátcem poplatku včas nebo ve správné výši, vyměří mu obecní úřad poplatek platebním výměrem k přímé úhradě. (3) Včas nezaplacené nebo neodvedené poplatky nebo část těchto poplatků může obecní úřad zvýšit až na trojnásobek; toto zvýšení je příslušenstvím poplatku. (4) Penále, úroky a pokuty, upravené daňovým řádem, s výjimkou pořádkových pokut, se neuplatňují.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2EBF"/>
    <w:multiLevelType w:val="hybridMultilevel"/>
    <w:tmpl w:val="2A0C8F7A"/>
    <w:lvl w:ilvl="0" w:tplc="CD76E7E4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30B4C"/>
    <w:multiLevelType w:val="hybridMultilevel"/>
    <w:tmpl w:val="04684650"/>
    <w:lvl w:ilvl="0" w:tplc="CD76E7E4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B6F58"/>
    <w:multiLevelType w:val="hybridMultilevel"/>
    <w:tmpl w:val="85D851EC"/>
    <w:lvl w:ilvl="0" w:tplc="CD76E7E4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E3EE0"/>
    <w:multiLevelType w:val="multilevel"/>
    <w:tmpl w:val="944491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C87077"/>
    <w:multiLevelType w:val="hybridMultilevel"/>
    <w:tmpl w:val="0F86C2AE"/>
    <w:lvl w:ilvl="0" w:tplc="4300DCFC">
      <w:start w:val="1"/>
      <w:numFmt w:val="decimal"/>
      <w:lvlText w:val="(%1)"/>
      <w:lvlJc w:val="left"/>
      <w:pPr>
        <w:ind w:left="540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386C14"/>
    <w:multiLevelType w:val="hybridMultilevel"/>
    <w:tmpl w:val="0A98AE74"/>
    <w:lvl w:ilvl="0" w:tplc="CD76E7E4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5A8"/>
    <w:rsid w:val="00764D99"/>
    <w:rsid w:val="00C7093E"/>
    <w:rsid w:val="00E6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5A8"/>
    <w:pPr>
      <w:spacing w:after="0" w:line="240" w:lineRule="auto"/>
    </w:pPr>
    <w:rPr>
      <w:rFonts w:ascii="Times New Roman" w:eastAsia="Calibri" w:hAnsi="Times New Roman" w:cs="Times New Roman"/>
      <w:b/>
      <w:kern w:val="28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605A8"/>
    <w:pPr>
      <w:keepNext/>
      <w:keepLines/>
      <w:spacing w:before="200"/>
      <w:outlineLvl w:val="1"/>
    </w:pPr>
    <w:rPr>
      <w:rFonts w:ascii="Cambria" w:hAnsi="Cambria"/>
      <w:b w:val="0"/>
      <w:bCs/>
      <w:color w:val="4F81BD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605A8"/>
    <w:pPr>
      <w:keepNext/>
      <w:spacing w:line="240" w:lineRule="atLeast"/>
      <w:jc w:val="center"/>
      <w:outlineLvl w:val="5"/>
    </w:pPr>
    <w:rPr>
      <w:b w:val="0"/>
      <w:kern w:val="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605A8"/>
    <w:rPr>
      <w:rFonts w:ascii="Cambria" w:eastAsia="Calibri" w:hAnsi="Cambria" w:cs="Times New Roman"/>
      <w:bCs/>
      <w:color w:val="4F81BD"/>
      <w:kern w:val="28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E605A8"/>
    <w:rPr>
      <w:rFonts w:ascii="Times New Roman" w:eastAsia="Calibri" w:hAnsi="Times New Roman" w:cs="Times New Roman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E605A8"/>
    <w:pPr>
      <w:spacing w:before="100" w:beforeAutospacing="1" w:after="100" w:afterAutospacing="1"/>
    </w:pPr>
    <w:rPr>
      <w:rFonts w:eastAsia="Times New Roman"/>
      <w:b w:val="0"/>
      <w:kern w:val="0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E605A8"/>
    <w:rPr>
      <w:rFonts w:ascii="Arial" w:hAnsi="Arial" w:cs="Arial"/>
      <w:b w:val="0"/>
      <w:noProof/>
      <w:kern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605A8"/>
    <w:rPr>
      <w:rFonts w:ascii="Arial" w:eastAsia="Calibri" w:hAnsi="Arial" w:cs="Arial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605A8"/>
    <w:pPr>
      <w:autoSpaceDE w:val="0"/>
      <w:autoSpaceDN w:val="0"/>
      <w:jc w:val="both"/>
    </w:pPr>
    <w:rPr>
      <w:b w:val="0"/>
      <w:kern w:val="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605A8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E605A8"/>
    <w:pPr>
      <w:spacing w:line="240" w:lineRule="atLeast"/>
    </w:pPr>
    <w:rPr>
      <w:b w:val="0"/>
      <w:kern w:val="0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605A8"/>
    <w:rPr>
      <w:rFonts w:ascii="Times New Roman" w:eastAsia="Calibri" w:hAnsi="Times New Roman" w:cs="Times New Roman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605A8"/>
    <w:pPr>
      <w:spacing w:line="240" w:lineRule="atLeast"/>
      <w:jc w:val="both"/>
    </w:pPr>
    <w:rPr>
      <w:b w:val="0"/>
      <w:kern w:val="0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E605A8"/>
    <w:rPr>
      <w:rFonts w:ascii="Times New Roman" w:eastAsia="Calibri" w:hAnsi="Times New Roman" w:cs="Times New Roman"/>
      <w:lang w:eastAsia="cs-CZ"/>
    </w:rPr>
  </w:style>
  <w:style w:type="paragraph" w:customStyle="1" w:styleId="Textparagrafu">
    <w:name w:val="Text paragrafu"/>
    <w:basedOn w:val="Normln"/>
    <w:rsid w:val="00E605A8"/>
    <w:pPr>
      <w:autoSpaceDE w:val="0"/>
      <w:autoSpaceDN w:val="0"/>
      <w:spacing w:before="240"/>
      <w:ind w:firstLine="425"/>
      <w:jc w:val="both"/>
    </w:pPr>
    <w:rPr>
      <w:b w:val="0"/>
      <w:kern w:val="0"/>
      <w:sz w:val="24"/>
      <w:szCs w:val="24"/>
    </w:rPr>
  </w:style>
  <w:style w:type="paragraph" w:customStyle="1" w:styleId="nzevzkona">
    <w:name w:val="název zákona"/>
    <w:basedOn w:val="Nzev"/>
    <w:rsid w:val="00E605A8"/>
    <w:pPr>
      <w:pBdr>
        <w:bottom w:val="none" w:sz="0" w:space="0" w:color="auto"/>
      </w:pBdr>
      <w:autoSpaceDE w:val="0"/>
      <w:autoSpaceDN w:val="0"/>
      <w:spacing w:before="120" w:after="0"/>
      <w:contextualSpacing w:val="0"/>
      <w:jc w:val="center"/>
    </w:pPr>
    <w:rPr>
      <w:rFonts w:ascii="Times New Roman" w:eastAsia="Calibri" w:hAnsi="Times New Roman" w:cs="Times New Roman"/>
      <w:bCs/>
      <w:color w:val="auto"/>
      <w:spacing w:val="0"/>
      <w:kern w:val="0"/>
      <w:sz w:val="24"/>
      <w:szCs w:val="24"/>
    </w:rPr>
  </w:style>
  <w:style w:type="paragraph" w:customStyle="1" w:styleId="Hlava">
    <w:name w:val="Hlava"/>
    <w:basedOn w:val="Normln"/>
    <w:rsid w:val="00E605A8"/>
    <w:pPr>
      <w:autoSpaceDE w:val="0"/>
      <w:autoSpaceDN w:val="0"/>
      <w:spacing w:before="240"/>
      <w:jc w:val="center"/>
    </w:pPr>
    <w:rPr>
      <w:rFonts w:ascii="Arial" w:hAnsi="Arial" w:cs="Arial"/>
      <w:b w:val="0"/>
      <w:kern w:val="0"/>
      <w:sz w:val="24"/>
      <w:szCs w:val="24"/>
    </w:rPr>
  </w:style>
  <w:style w:type="paragraph" w:customStyle="1" w:styleId="Nzvylnk">
    <w:name w:val="Názvy článků"/>
    <w:basedOn w:val="Normln"/>
    <w:rsid w:val="00E605A8"/>
    <w:pPr>
      <w:keepNext/>
      <w:keepLines/>
      <w:spacing w:before="60" w:after="160"/>
      <w:jc w:val="center"/>
    </w:pPr>
    <w:rPr>
      <w:rFonts w:eastAsia="Times New Roman"/>
      <w:bCs/>
      <w:kern w:val="0"/>
      <w:sz w:val="24"/>
      <w:szCs w:val="20"/>
    </w:rPr>
  </w:style>
  <w:style w:type="paragraph" w:customStyle="1" w:styleId="slalnk">
    <w:name w:val="Čísla článků"/>
    <w:basedOn w:val="Normln"/>
    <w:rsid w:val="00E605A8"/>
    <w:pPr>
      <w:keepNext/>
      <w:keepLines/>
      <w:spacing w:before="360" w:after="60"/>
      <w:jc w:val="center"/>
    </w:pPr>
    <w:rPr>
      <w:rFonts w:eastAsia="Times New Roman"/>
      <w:bCs/>
      <w:kern w:val="0"/>
      <w:sz w:val="24"/>
      <w:szCs w:val="20"/>
    </w:rPr>
  </w:style>
  <w:style w:type="character" w:styleId="Znakapoznpodarou">
    <w:name w:val="footnote reference"/>
    <w:basedOn w:val="Standardnpsmoodstavce"/>
    <w:semiHidden/>
    <w:unhideWhenUsed/>
    <w:rsid w:val="00E605A8"/>
    <w:rPr>
      <w:rFonts w:ascii="Times New Roman" w:hAnsi="Times New Roman" w:cs="Times New Roman" w:hint="default"/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E605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605A8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3249</Characters>
  <Application>Microsoft Office Word</Application>
  <DocSecurity>0</DocSecurity>
  <Lines>27</Lines>
  <Paragraphs>7</Paragraphs>
  <ScaleCrop>false</ScaleCrop>
  <Company>Obec Chudčice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Jandova</dc:creator>
  <cp:keywords/>
  <dc:description/>
  <cp:lastModifiedBy>Jandova</cp:lastModifiedBy>
  <cp:revision>2</cp:revision>
  <dcterms:created xsi:type="dcterms:W3CDTF">2011-12-28T15:26:00Z</dcterms:created>
  <dcterms:modified xsi:type="dcterms:W3CDTF">2011-12-28T15:26:00Z</dcterms:modified>
</cp:coreProperties>
</file>